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b/>
          <w:bCs/>
          <w:sz w:val="44"/>
          <w:szCs w:val="44"/>
          <w:lang w:val="en-US" w:eastAsia="zh-CN"/>
        </w:rPr>
      </w:pPr>
      <w:r>
        <w:rPr>
          <w:rFonts w:hint="eastAsia"/>
          <w:b/>
          <w:bCs/>
          <w:sz w:val="44"/>
          <w:szCs w:val="44"/>
          <w:lang w:val="en-US" w:eastAsia="zh-CN"/>
        </w:rPr>
        <w:t>廉洁</w:t>
      </w:r>
      <w:bookmarkStart w:id="0" w:name="_GoBack"/>
      <w:bookmarkEnd w:id="0"/>
      <w:r>
        <w:rPr>
          <w:rFonts w:hint="eastAsia"/>
          <w:b/>
          <w:bCs/>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 xml:space="preserve">    根据国家卫生计生委、国家中医药管理局制定的《加强医疗卫生行风建设“九不准”》的规定，为规范招标采购项目中的各项活动，防止发生各种谋取不正当利益的违法违纪行为，保护国家、集体和当事人的合法权益，特向北京中医药大学第三附属医院对所涉及仪器设备中标项目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严格遵守国家关于市场准入、中华人民共和国政府采购法、招标投标和市场活动等有关法律、法规、相关政策以及廉政建设的各项规定。</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严格执行招标采购项目合同文件，自觉按合同办事。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业务活动必须坚持公开、公平、公正、诚信、透明的原则（除法律法规另有规定者外），不得谋取不正当的利益，损害国家、集体和对方利益，不得违反招标采购、招投标等方面的规章制度。</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不以任何理由向采购单位领导及其工作人员赠送礼金、有价证券、贵重物品和回扣、好处费、感谢费等。</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不以任何理由为采购单位和相关单位报销应由对方或个人支付的费用。</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不接受或暗示为采购单位、相关单位或个人装修住房、婚丧嫁娶、配偶子女的工作安排以及出国（境）旅游等提供方便。</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不以任何理由为采购单位、相关单位或个人提供有可能影响其公正执行公务的宴请、健身、娱乐等活动。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 xml:space="preserve">       供货单位（盖章）：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 xml:space="preserve">       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9AAD"/>
    <w:multiLevelType w:val="singleLevel"/>
    <w:tmpl w:val="59019AA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E2176"/>
    <w:rsid w:val="20FF2E43"/>
    <w:rsid w:val="53393E92"/>
    <w:rsid w:val="66CE2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2017-04-27T07:03:00Z</dcterms:created>
  <dc:creator>kls</dc:creator>
  <cp:lastModifiedBy>馨悦</cp:lastModifiedBy>
  <dcterms:modified xsi:type="dcterms:W3CDTF">2019-02-27T01:07:19Z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